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4A439FBB" w:rsidR="00AE5E36" w:rsidRPr="00D67E94" w:rsidRDefault="007F1312" w:rsidP="00F17303">
      <w:pPr>
        <w:pStyle w:val="Heading1"/>
      </w:pPr>
      <w:r>
        <w:t xml:space="preserve">Colour Spaces Part </w:t>
      </w:r>
      <w:r w:rsidR="005245B7">
        <w:t>2</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23AD7D8C" w:rsidR="00965F66" w:rsidRDefault="00965F66" w:rsidP="00CA22F7">
      <w:pPr>
        <w:spacing w:after="200" w:line="360" w:lineRule="auto"/>
      </w:pPr>
      <w:r w:rsidRPr="00965F66">
        <w:t>This module is split into 6 chapters and will cover the following topics:</w:t>
      </w:r>
    </w:p>
    <w:bookmarkStart w:id="0" w:name="_Module_content"/>
    <w:bookmarkEnd w:id="0"/>
    <w:p w14:paraId="5964D492" w14:textId="77777777" w:rsidR="00FC737F" w:rsidRDefault="001A3ADF" w:rsidP="00FC737F">
      <w:pPr>
        <w:pStyle w:val="ListParagraph"/>
        <w:numPr>
          <w:ilvl w:val="0"/>
          <w:numId w:val="7"/>
        </w:numPr>
        <w:spacing w:after="200" w:line="360" w:lineRule="auto"/>
      </w:pPr>
      <w:r>
        <w:fldChar w:fldCharType="begin"/>
      </w:r>
      <w:r>
        <w:instrText>HYPERLINK  \l "_Introduction"</w:instrText>
      </w:r>
      <w:r>
        <w:fldChar w:fldCharType="separate"/>
      </w:r>
      <w:r w:rsidRPr="001A3ADF">
        <w:rPr>
          <w:rStyle w:val="Hyperlink"/>
        </w:rPr>
        <w:t>Introduction</w:t>
      </w:r>
      <w:r>
        <w:fldChar w:fldCharType="end"/>
      </w:r>
    </w:p>
    <w:p w14:paraId="04B902B5" w14:textId="4CBBBD95" w:rsidR="00FC737F" w:rsidRPr="00FC737F" w:rsidRDefault="00FC737F" w:rsidP="00FC737F">
      <w:pPr>
        <w:pStyle w:val="ListParagraph"/>
        <w:numPr>
          <w:ilvl w:val="0"/>
          <w:numId w:val="7"/>
        </w:numPr>
        <w:spacing w:after="200" w:line="360" w:lineRule="auto"/>
        <w:rPr>
          <w:rStyle w:val="Hyperlink"/>
          <w:color w:val="auto"/>
          <w:u w:val="none"/>
        </w:rPr>
      </w:pPr>
      <w:r>
        <w:fldChar w:fldCharType="begin"/>
      </w:r>
      <w:r>
        <w:instrText>HYPERLINK  \l "_Chapter_One:_How"</w:instrText>
      </w:r>
      <w:r>
        <w:fldChar w:fldCharType="separate"/>
      </w:r>
      <w:r w:rsidR="00BD7E9A" w:rsidRPr="00FC737F">
        <w:rPr>
          <w:rStyle w:val="Hyperlink"/>
        </w:rPr>
        <w:t xml:space="preserve">Chapter One: </w:t>
      </w:r>
      <w:r w:rsidR="005F0AA4" w:rsidRPr="00FC737F">
        <w:rPr>
          <w:rStyle w:val="Hyperlink"/>
        </w:rPr>
        <w:t>How colour spaces evolved</w:t>
      </w:r>
    </w:p>
    <w:p w14:paraId="13552EAC" w14:textId="45A3463C" w:rsidR="00FC737F" w:rsidRDefault="00FC737F" w:rsidP="00FC737F">
      <w:pPr>
        <w:pStyle w:val="ListParagraph"/>
        <w:numPr>
          <w:ilvl w:val="0"/>
          <w:numId w:val="7"/>
        </w:numPr>
        <w:spacing w:after="200" w:line="360" w:lineRule="auto"/>
      </w:pPr>
      <w:r>
        <w:fldChar w:fldCharType="end"/>
      </w:r>
      <w:hyperlink w:anchor="_Managing_conflict" w:history="1">
        <w:r w:rsidR="00BD7E9A" w:rsidRPr="00FC737F">
          <w:rPr>
            <w:rStyle w:val="Hyperlink"/>
          </w:rPr>
          <w:t>Chapter Two:</w:t>
        </w:r>
        <w:r w:rsidR="00404088" w:rsidRPr="00FC737F">
          <w:rPr>
            <w:rStyle w:val="Hyperlink"/>
          </w:rPr>
          <w:t xml:space="preserve"> </w:t>
        </w:r>
        <w:r w:rsidR="005F0AA4" w:rsidRPr="00FC737F">
          <w:rPr>
            <w:rStyle w:val="Hyperlink"/>
          </w:rPr>
          <w:t>What is dynamic range?</w:t>
        </w:r>
      </w:hyperlink>
    </w:p>
    <w:p w14:paraId="0621E728" w14:textId="77777777" w:rsidR="00FC737F" w:rsidRDefault="005F0AA4" w:rsidP="00FC737F">
      <w:pPr>
        <w:pStyle w:val="ListParagraph"/>
        <w:numPr>
          <w:ilvl w:val="0"/>
          <w:numId w:val="7"/>
        </w:numPr>
        <w:spacing w:after="200" w:line="360" w:lineRule="auto"/>
        <w:rPr>
          <w:rStyle w:val="Hyperlink"/>
          <w:color w:val="auto"/>
          <w:u w:val="none"/>
        </w:rPr>
      </w:pPr>
      <w:hyperlink w:anchor="_Chapter_Three:_Calibration" w:history="1">
        <w:r w:rsidRPr="002964DE">
          <w:rPr>
            <w:rStyle w:val="Hyperlink"/>
          </w:rPr>
          <w:t>Chapter Three: What does HDR look like?</w:t>
        </w:r>
      </w:hyperlink>
      <w:r w:rsidRPr="00FC737F">
        <w:rPr>
          <w:rStyle w:val="Hyperlink"/>
          <w:color w:val="auto"/>
          <w:u w:val="none"/>
        </w:rPr>
        <w:t xml:space="preserve"> </w:t>
      </w:r>
    </w:p>
    <w:p w14:paraId="6388C32C" w14:textId="018C8047" w:rsidR="005B4DC6" w:rsidRPr="00FC737F" w:rsidRDefault="002964DE" w:rsidP="00FC737F">
      <w:pPr>
        <w:pStyle w:val="ListParagraph"/>
        <w:numPr>
          <w:ilvl w:val="0"/>
          <w:numId w:val="7"/>
        </w:numPr>
        <w:spacing w:after="200" w:line="360" w:lineRule="auto"/>
        <w:rPr>
          <w:rStyle w:val="Hyperlink"/>
          <w:color w:val="auto"/>
          <w:u w:val="none"/>
        </w:rPr>
      </w:pPr>
      <w:r>
        <w:fldChar w:fldCharType="begin"/>
      </w:r>
      <w:r>
        <w:instrText>HYPERLINK  \l "_Chapter_Four:_Camera"</w:instrText>
      </w:r>
      <w:r>
        <w:fldChar w:fldCharType="separate"/>
      </w:r>
      <w:r w:rsidR="0004076D" w:rsidRPr="002964DE">
        <w:rPr>
          <w:rStyle w:val="Hyperlink"/>
        </w:rPr>
        <w:t>Chapter Four:</w:t>
      </w:r>
      <w:r w:rsidR="00A67E12" w:rsidRPr="002964DE">
        <w:rPr>
          <w:rStyle w:val="Hyperlink"/>
        </w:rPr>
        <w:t xml:space="preserve"> The implications of HDR delivery on the production and post-production process</w:t>
      </w:r>
    </w:p>
    <w:p w14:paraId="6455C7CF" w14:textId="2847F32F" w:rsidR="00C25507" w:rsidRDefault="002964DE" w:rsidP="002964DE">
      <w:pPr>
        <w:pStyle w:val="ListParagraph"/>
        <w:numPr>
          <w:ilvl w:val="0"/>
          <w:numId w:val="7"/>
        </w:numPr>
        <w:spacing w:after="200" w:line="360" w:lineRule="auto"/>
      </w:pPr>
      <w:r>
        <w:fldChar w:fldCharType="end"/>
      </w:r>
      <w:hyperlink w:anchor="_Chapter_Five:_Colour" w:history="1">
        <w:r w:rsidR="00442E62" w:rsidRPr="002964DE">
          <w:rPr>
            <w:rStyle w:val="Hyperlink"/>
          </w:rPr>
          <w:t xml:space="preserve">Chapter Five: </w:t>
        </w:r>
        <w:r w:rsidRPr="002964DE">
          <w:rPr>
            <w:rStyle w:val="Hyperlink"/>
          </w:rPr>
          <w:t>HDR delivery formats</w:t>
        </w:r>
      </w:hyperlink>
    </w:p>
    <w:p w14:paraId="6B3847C9" w14:textId="0F72C2C9" w:rsidR="00B161A1" w:rsidRPr="005206DD" w:rsidRDefault="00442E62" w:rsidP="005206DD">
      <w:pPr>
        <w:pStyle w:val="ListParagraph"/>
        <w:numPr>
          <w:ilvl w:val="0"/>
          <w:numId w:val="7"/>
        </w:numPr>
        <w:spacing w:after="200" w:line="360" w:lineRule="auto"/>
        <w:rPr>
          <w:rStyle w:val="Hyperlink"/>
          <w:color w:val="auto"/>
          <w:u w:val="none"/>
        </w:rPr>
      </w:pPr>
      <w:r>
        <w:fldChar w:fldCharType="begin"/>
      </w:r>
      <w:r w:rsidR="002964DE">
        <w:instrText>HYPERLINK  \l "_Conclusion"</w:instrText>
      </w:r>
      <w:r>
        <w:fldChar w:fldCharType="separate"/>
      </w:r>
      <w:r w:rsidR="00B161A1" w:rsidRPr="00442E62">
        <w:rPr>
          <w:rStyle w:val="Hyperlink"/>
        </w:rPr>
        <w:t>C</w:t>
      </w:r>
      <w:r>
        <w:rPr>
          <w:rStyle w:val="Hyperlink"/>
        </w:rPr>
        <w:t>hapter Six: Conclusions</w:t>
      </w:r>
    </w:p>
    <w:bookmarkStart w:id="1" w:name="_Introduction"/>
    <w:bookmarkEnd w:id="1"/>
    <w:p w14:paraId="3CB4B00E" w14:textId="21B659A9" w:rsidR="00C55A49" w:rsidRDefault="00442E62" w:rsidP="00C55A49">
      <w:pPr>
        <w:pStyle w:val="Heading1"/>
      </w:pPr>
      <w:r>
        <w:rPr>
          <w:rFonts w:asciiTheme="minorHAnsi" w:eastAsiaTheme="minorHAnsi" w:hAnsiTheme="minorHAnsi" w:cstheme="minorBidi"/>
          <w:color w:val="auto"/>
          <w:sz w:val="24"/>
          <w:szCs w:val="24"/>
        </w:rPr>
        <w:fldChar w:fldCharType="end"/>
      </w:r>
      <w:r w:rsidR="001A3ADF">
        <w:t>Introduction</w:t>
      </w:r>
    </w:p>
    <w:p w14:paraId="35470197" w14:textId="657D1A2C" w:rsidR="008F5554" w:rsidRDefault="008F5554" w:rsidP="00507B64">
      <w:pPr>
        <w:spacing w:after="240" w:line="360" w:lineRule="auto"/>
      </w:pPr>
      <w:r w:rsidRPr="008F5554">
        <w:t>This module is the second part on the topics of colour spaces and dynamic range. In the first part, we covered what defines a colour space, how different types of displays deal with colours and how cameras typically use their own types of colour spaces. We also explained the process of colour management. We recommend you refer to the previous e-module before you start this one.</w:t>
      </w:r>
    </w:p>
    <w:p w14:paraId="6612486D" w14:textId="3CC49204" w:rsidR="00507B64" w:rsidRPr="008F5554" w:rsidRDefault="00507B64" w:rsidP="00507B64">
      <w:pPr>
        <w:spacing w:line="360" w:lineRule="auto"/>
      </w:pPr>
      <w:r w:rsidRPr="00507B64">
        <w:t>In this second part, we’ll be going in-depth on dynamic range and the difference between SDR and HDR displays.</w:t>
      </w:r>
    </w:p>
    <w:p w14:paraId="6B60B24A" w14:textId="3B39DC29" w:rsidR="00391819" w:rsidRDefault="00BD7E9A" w:rsidP="002001D8">
      <w:pPr>
        <w:pStyle w:val="Heading1"/>
      </w:pPr>
      <w:bookmarkStart w:id="2" w:name="_Chapter_One:_What"/>
      <w:bookmarkStart w:id="3" w:name="_Chapter_One:_How"/>
      <w:bookmarkEnd w:id="2"/>
      <w:bookmarkEnd w:id="3"/>
      <w:r w:rsidRPr="00BD7E9A">
        <w:rPr>
          <w:b/>
          <w:bCs/>
        </w:rPr>
        <w:t xml:space="preserve">Chapter One: </w:t>
      </w:r>
      <w:r w:rsidR="0048580D">
        <w:t>How colour spaces have evolved</w:t>
      </w:r>
    </w:p>
    <w:p w14:paraId="1F61740E" w14:textId="09CB0985" w:rsidR="0019582F" w:rsidRDefault="0019582F" w:rsidP="009177F7">
      <w:pPr>
        <w:spacing w:after="240" w:line="360" w:lineRule="auto"/>
      </w:pPr>
      <w:r w:rsidRPr="0019582F">
        <w:t>In Colour Spaces Part One, we introduced the Rec. 709 colour space, which was a key part of the HDTV standards and was developed in the 1990s.</w:t>
      </w:r>
    </w:p>
    <w:p w14:paraId="3116F82C" w14:textId="13025F5C" w:rsidR="009177F7" w:rsidRDefault="009177F7" w:rsidP="00FE3C73">
      <w:pPr>
        <w:spacing w:after="240" w:line="360" w:lineRule="auto"/>
      </w:pPr>
      <w:r w:rsidRPr="009177F7">
        <w:t>Rec709 aimed to represent the largest possible amount of natural colours that were technically achievable by displays at the time.</w:t>
      </w:r>
    </w:p>
    <w:p w14:paraId="1E61598B" w14:textId="13035580" w:rsidR="00EC5EED" w:rsidRDefault="00EC5EED" w:rsidP="002900E7">
      <w:pPr>
        <w:spacing w:after="240" w:line="360" w:lineRule="auto"/>
      </w:pPr>
      <w:r w:rsidRPr="00EC5EED">
        <w:t xml:space="preserve">Within that same standard, we also stated that reference monitoring of a Rec709 device should aim to achieve a certain brightness level. This level was set at 100 nits, which is an </w:t>
      </w:r>
      <w:r w:rsidRPr="00EC5EED">
        <w:lastRenderedPageBreak/>
        <w:t>industry-standard scale to</w:t>
      </w:r>
      <w:r w:rsidR="00FE3C73">
        <w:t xml:space="preserve"> </w:t>
      </w:r>
      <w:r w:rsidR="00FE3C73" w:rsidRPr="00FE3C73">
        <w:t>measure light intensity. However, it’s fair to say that 100 nits in brightness is not very bright for a monitor in your living room.</w:t>
      </w:r>
    </w:p>
    <w:p w14:paraId="25E012C8" w14:textId="597F902E" w:rsidR="00BB217A" w:rsidRPr="0019582F" w:rsidRDefault="002900E7" w:rsidP="0019582F">
      <w:pPr>
        <w:spacing w:line="360" w:lineRule="auto"/>
      </w:pPr>
      <w:r w:rsidRPr="002900E7">
        <w:t>As time passed, TV manufacturers created increasingly brighter displays, causing a mismatch between the defined standard and the display capabilities. The effect of this was that it became unpredictable whether</w:t>
      </w:r>
      <w:r w:rsidR="00653CF2">
        <w:t xml:space="preserve"> a viewer at home was seeing the same colours as intended in the grading suite. </w:t>
      </w:r>
      <w:r w:rsidR="00BB217A" w:rsidRPr="00BB217A">
        <w:t>In other words, consumer electronics had outgrown the standards that had been written for it. This meant that we needed to set new standards for those brighter displays and with that came HDR.</w:t>
      </w:r>
    </w:p>
    <w:p w14:paraId="25252168" w14:textId="154AD635" w:rsidR="00554B7D" w:rsidRDefault="00BD7E9A" w:rsidP="00C205B0">
      <w:pPr>
        <w:pStyle w:val="Heading1"/>
      </w:pPr>
      <w:bookmarkStart w:id="4" w:name="_Managing_conflict"/>
      <w:bookmarkStart w:id="5" w:name="_Chapter_Two:_"/>
      <w:bookmarkStart w:id="6" w:name="_Chapter_Two:_Development"/>
      <w:bookmarkStart w:id="7" w:name="_Chapter_Two:_Different"/>
      <w:bookmarkEnd w:id="4"/>
      <w:bookmarkEnd w:id="5"/>
      <w:bookmarkEnd w:id="6"/>
      <w:bookmarkEnd w:id="7"/>
      <w:r w:rsidRPr="00BD7E9A">
        <w:rPr>
          <w:b/>
          <w:bCs/>
        </w:rPr>
        <w:t xml:space="preserve">Chapter Two: </w:t>
      </w:r>
      <w:r w:rsidR="00697DC3">
        <w:t>Different display colour spaces</w:t>
      </w:r>
    </w:p>
    <w:p w14:paraId="13575EFC" w14:textId="7D07F321" w:rsidR="006E4AD0" w:rsidRPr="006E4AD0" w:rsidRDefault="006E4AD0" w:rsidP="006E4AD0">
      <w:pPr>
        <w:spacing w:after="240" w:line="360" w:lineRule="auto"/>
      </w:pPr>
      <w:r w:rsidRPr="006E4AD0">
        <w:t xml:space="preserve">When we mention dynamic range in relation to images, we are talking about the difference between the highest white and the lowest black in an image. </w:t>
      </w:r>
    </w:p>
    <w:p w14:paraId="684FADD0" w14:textId="17D5A916" w:rsidR="00BB217A" w:rsidRDefault="006E4AD0" w:rsidP="00CB01F3">
      <w:pPr>
        <w:spacing w:after="240" w:line="360" w:lineRule="auto"/>
      </w:pPr>
      <w:r w:rsidRPr="006E4AD0">
        <w:t>One way to measure this difference is in the amount of ‘stops’, or the amount of times the light intensity doubles. The dynamic range</w:t>
      </w:r>
      <w:r w:rsidR="00521C0D">
        <w:t xml:space="preserve"> </w:t>
      </w:r>
      <w:r w:rsidR="00521C0D" w:rsidRPr="00521C0D">
        <w:t xml:space="preserve">between full summer sunlight and pitch-black night is over 30 stops. </w:t>
      </w:r>
    </w:p>
    <w:p w14:paraId="73B215C4" w14:textId="4DC34419" w:rsidR="00CB01F3" w:rsidRDefault="00CB01F3" w:rsidP="00173922">
      <w:pPr>
        <w:spacing w:after="240" w:line="360" w:lineRule="auto"/>
      </w:pPr>
      <w:r w:rsidRPr="00CB01F3">
        <w:t>The human eye can discern a limited amount of stops of dynamic range at once, but because we can open and close our irises and adapt for brighter or darker environments, we can ‘choose’ the range we want to see at any moment in time</w:t>
      </w:r>
      <w:r w:rsidR="005711A7">
        <w:t xml:space="preserve"> As a generalisation, we could say that it is comfortable for our eyes to look at images that show a dynamic range of around 12 stops. </w:t>
      </w:r>
      <w:r w:rsidR="005711A7" w:rsidRPr="004E66D3">
        <w:t xml:space="preserve">Above that range, we start to notice that we need to adapt.  </w:t>
      </w:r>
    </w:p>
    <w:p w14:paraId="5A90C84D" w14:textId="58BC3993" w:rsidR="00173922" w:rsidRDefault="00173922" w:rsidP="00173922">
      <w:pPr>
        <w:spacing w:after="240" w:line="360" w:lineRule="auto"/>
      </w:pPr>
      <w:r w:rsidRPr="00173922">
        <w:t>Digital cinema cameras do a similar thing when we close or open the aperture to let less or more light go through the lens onto the camera sensor. Most of those cameras can record well over 12 stops of dynamic range and have done so for over a decade.</w:t>
      </w:r>
    </w:p>
    <w:p w14:paraId="42A7CFA4" w14:textId="77777777" w:rsidR="00251A94" w:rsidRPr="00251A94" w:rsidRDefault="00251A94" w:rsidP="00251A94">
      <w:pPr>
        <w:spacing w:after="240" w:line="360" w:lineRule="auto"/>
      </w:pPr>
      <w:r w:rsidRPr="00251A94">
        <w:t>For a long time, it was our displays that were the bottleneck for dynamic range. If we look at our Rec709 TV sets that were supposed to reach around 100 nits of brightness, they were expected to be able to show us 6 or 7 stops of dynamic range, a lot less than what the human eye or our professional cameras can see. Now that TV sets can reach way beyond that 100 nits peak brightness, we finally have a large enough contrast range to open the door to new standards.</w:t>
      </w:r>
    </w:p>
    <w:p w14:paraId="7FC648FC" w14:textId="1B34ED0D" w:rsidR="00E32269" w:rsidRPr="00E32269" w:rsidRDefault="00E32269" w:rsidP="00E32269">
      <w:pPr>
        <w:spacing w:after="240" w:line="360" w:lineRule="auto"/>
      </w:pPr>
      <w:r w:rsidRPr="00E32269">
        <w:lastRenderedPageBreak/>
        <w:t xml:space="preserve">Most modern displays you can buy today reach 10 to 12 stops of dynamic range, which we refer to as High Dynamic Range - or HDR </w:t>
      </w:r>
      <w:r>
        <w:t>–</w:t>
      </w:r>
      <w:r w:rsidRPr="00E32269">
        <w:t xml:space="preserve"> displays</w:t>
      </w:r>
      <w:r>
        <w:t>.</w:t>
      </w:r>
    </w:p>
    <w:p w14:paraId="74EADE7C" w14:textId="77777777" w:rsidR="00E32269" w:rsidRDefault="00E32269" w:rsidP="00E32269">
      <w:pPr>
        <w:spacing w:after="240" w:line="360" w:lineRule="auto"/>
      </w:pPr>
      <w:r w:rsidRPr="00E32269">
        <w:t>The fact that displays have increased in terms of dynamic range is not just because of the higher brightness capabilities, but also because the shadow detail and black levels have become better. It’s about the full range, not just one end of it.</w:t>
      </w:r>
    </w:p>
    <w:p w14:paraId="085DB62A" w14:textId="2685FA26" w:rsidR="00251A94" w:rsidRPr="00251A94" w:rsidRDefault="00AD7708" w:rsidP="00173922">
      <w:pPr>
        <w:spacing w:after="240" w:line="360" w:lineRule="auto"/>
      </w:pPr>
      <w:r w:rsidRPr="00AD7708">
        <w:t>With HDR technology entering the market, we’ve started to retrospectively refer to older display technology like the Rec709 standard as SDR, or Standard Dynamic Range.</w:t>
      </w:r>
    </w:p>
    <w:p w14:paraId="17EE7470" w14:textId="29BC16E7" w:rsidR="006B1486" w:rsidRDefault="00442E62" w:rsidP="0048317D">
      <w:pPr>
        <w:pStyle w:val="Heading1"/>
      </w:pPr>
      <w:bookmarkStart w:id="8" w:name="_Chapter_Three:_Production"/>
      <w:bookmarkStart w:id="9" w:name="_Chapter_Three:_Calibration"/>
      <w:bookmarkEnd w:id="8"/>
      <w:bookmarkEnd w:id="9"/>
      <w:r w:rsidRPr="00442E62">
        <w:rPr>
          <w:b/>
          <w:bCs/>
        </w:rPr>
        <w:t>Chapter Three:</w:t>
      </w:r>
      <w:r>
        <w:rPr>
          <w:b/>
          <w:bCs/>
        </w:rPr>
        <w:t xml:space="preserve"> </w:t>
      </w:r>
      <w:r w:rsidR="00AD7708">
        <w:t>What does HDR look like?</w:t>
      </w:r>
    </w:p>
    <w:p w14:paraId="17D8F2E0" w14:textId="77777777" w:rsidR="007206E5" w:rsidRDefault="00F27294" w:rsidP="007206E5">
      <w:pPr>
        <w:spacing w:after="240" w:line="360" w:lineRule="auto"/>
      </w:pPr>
      <w:r w:rsidRPr="00F27294">
        <w:t xml:space="preserve">As previously mentioned, high dynamic range displays provide the possibility to show contrast ranges that are similar to the limits of what our eyes can register. </w:t>
      </w:r>
    </w:p>
    <w:p w14:paraId="274B9824" w14:textId="0A527180" w:rsidR="009D2C98" w:rsidRDefault="00F27294" w:rsidP="007206E5">
      <w:pPr>
        <w:spacing w:after="240" w:line="360" w:lineRule="auto"/>
      </w:pPr>
      <w:r w:rsidRPr="00F27294">
        <w:t>This means that images can become more lifelike, more realistic and with the perception of more depth. For example, let’s think about a night scene, lit only by torches or a bonfire. In SDR, we</w:t>
      </w:r>
      <w:r w:rsidR="005A0463">
        <w:t xml:space="preserve"> </w:t>
      </w:r>
      <w:r w:rsidR="005A0463" w:rsidRPr="005A0463">
        <w:t xml:space="preserve">always have to choose to </w:t>
      </w:r>
      <w:r w:rsidR="005A0463" w:rsidRPr="005A0463">
        <w:rPr>
          <w:b/>
          <w:bCs/>
        </w:rPr>
        <w:t>either</w:t>
      </w:r>
      <w:r w:rsidR="005A0463" w:rsidRPr="005A0463">
        <w:t xml:space="preserve"> show details in the shadows but have the flames be burnt out, </w:t>
      </w:r>
      <w:r w:rsidR="005A0463" w:rsidRPr="005A0463">
        <w:rPr>
          <w:b/>
          <w:bCs/>
        </w:rPr>
        <w:t>or</w:t>
      </w:r>
      <w:r w:rsidR="005A0463" w:rsidRPr="005A0463">
        <w:t xml:space="preserve"> the other way around. So, to show detail in the flames at the expense of losing detail in the dark areas of the image. With HDR, we can show both at the same time because we can extend that contrast range to open up the otherwise burnt-out highlights in the flames.</w:t>
      </w:r>
    </w:p>
    <w:p w14:paraId="3CD11E39" w14:textId="6F3BFEE8" w:rsidR="00675BD4" w:rsidRDefault="00FE28C2" w:rsidP="003C5AFC">
      <w:pPr>
        <w:spacing w:after="240" w:line="360" w:lineRule="auto"/>
      </w:pPr>
      <w:r w:rsidRPr="00FE28C2">
        <w:t>Besides having a larger contrast ratio or dynamic range, HDR standards also make use of a wider colour</w:t>
      </w:r>
      <w:r w:rsidR="00571BF4">
        <w:t xml:space="preserve"> </w:t>
      </w:r>
      <w:r w:rsidR="007452E1" w:rsidRPr="007452E1">
        <w:t>pace like P3 or Rec2020.</w:t>
      </w:r>
      <w:r w:rsidR="007452E1">
        <w:t xml:space="preserve"> </w:t>
      </w:r>
      <w:r w:rsidR="00946E26">
        <w:t>We learnt about these colour spaces</w:t>
      </w:r>
      <w:r w:rsidR="00D62DA5">
        <w:t xml:space="preserve"> </w:t>
      </w:r>
      <w:r w:rsidR="00D62DA5" w:rsidRPr="00D62DA5">
        <w:t>in Colour Spaces Part 1. The combination of the higher dynamic range and the wider colour space means that we can create images on HDR displays that</w:t>
      </w:r>
      <w:r w:rsidR="00FD5209">
        <w:t xml:space="preserve"> are very close to what we would see with our eyes in the outside world. </w:t>
      </w:r>
    </w:p>
    <w:p w14:paraId="2204396F" w14:textId="70FE679B" w:rsidR="003C5AFC" w:rsidRPr="003C5AFC" w:rsidRDefault="003C5AFC" w:rsidP="003C5AFC">
      <w:pPr>
        <w:spacing w:after="240" w:line="360" w:lineRule="auto"/>
      </w:pPr>
      <w:r w:rsidRPr="003C5AFC">
        <w:t xml:space="preserve">In other words: We </w:t>
      </w:r>
      <w:r w:rsidRPr="003C5AFC">
        <w:rPr>
          <w:b/>
          <w:bCs/>
        </w:rPr>
        <w:t>can</w:t>
      </w:r>
      <w:r w:rsidRPr="003C5AFC">
        <w:t xml:space="preserve"> make the images more realistic, but we don’t</w:t>
      </w:r>
      <w:r w:rsidRPr="003C5AFC">
        <w:rPr>
          <w:b/>
          <w:bCs/>
        </w:rPr>
        <w:t xml:space="preserve"> have</w:t>
      </w:r>
      <w:r w:rsidRPr="003C5AFC">
        <w:t xml:space="preserve"> to. </w:t>
      </w:r>
    </w:p>
    <w:p w14:paraId="171C1E6F" w14:textId="77777777" w:rsidR="003C5AFC" w:rsidRDefault="003C5AFC" w:rsidP="003C5AFC">
      <w:pPr>
        <w:spacing w:line="360" w:lineRule="auto"/>
      </w:pPr>
      <w:r w:rsidRPr="003C5AFC">
        <w:t xml:space="preserve">We can creatively choose if we want to make use of the full wider spectrum or a portion of it. HDR is not a look, it is a delivery format that provides a larger canvas to do our creative work on, anyway we choose. </w:t>
      </w:r>
    </w:p>
    <w:p w14:paraId="1E9CD58F" w14:textId="77777777" w:rsidR="00A8537D" w:rsidRDefault="00A8537D" w:rsidP="00704DED">
      <w:pPr>
        <w:spacing w:after="240" w:line="360" w:lineRule="auto"/>
      </w:pPr>
      <w:r w:rsidRPr="00A8537D">
        <w:lastRenderedPageBreak/>
        <w:t xml:space="preserve">Another misconception is that HDR content has to be bright. Once again, it is a choice to use the full brightness that is available to us, but we don’t have to. The extent to which the wider palette is used is a creative decision. </w:t>
      </w:r>
    </w:p>
    <w:p w14:paraId="3466F3E8" w14:textId="63D7C4C7" w:rsidR="003C5AFC" w:rsidRDefault="00704DED" w:rsidP="00F27294">
      <w:pPr>
        <w:spacing w:line="360" w:lineRule="auto"/>
      </w:pPr>
      <w:r w:rsidRPr="00704DED">
        <w:t>It is even technically possible to create the exact same image that we might have made for Rec709 SDR delivery within the HDR container.</w:t>
      </w:r>
    </w:p>
    <w:p w14:paraId="79A4081B" w14:textId="585106CA" w:rsidR="005B4DC6" w:rsidRDefault="00442E62" w:rsidP="005B4DC6">
      <w:pPr>
        <w:pStyle w:val="Heading1"/>
      </w:pPr>
      <w:bookmarkStart w:id="10" w:name="_Giving_constructive_feedback"/>
      <w:bookmarkStart w:id="11" w:name="_Chapter_Four:_Post-production:"/>
      <w:bookmarkStart w:id="12" w:name="_Chapter_Four:_Camera"/>
      <w:bookmarkEnd w:id="10"/>
      <w:bookmarkEnd w:id="11"/>
      <w:bookmarkEnd w:id="12"/>
      <w:r w:rsidRPr="00442E62">
        <w:rPr>
          <w:b/>
          <w:bCs/>
        </w:rPr>
        <w:t xml:space="preserve">Chapter Four: </w:t>
      </w:r>
      <w:r w:rsidR="00AA7181" w:rsidRPr="00AA7181">
        <w:t>Implications of having to deliver an HDR master</w:t>
      </w:r>
    </w:p>
    <w:p w14:paraId="767C580D" w14:textId="6E0A4629" w:rsidR="00D32258" w:rsidRPr="00D32258" w:rsidRDefault="00D32258" w:rsidP="00D32258">
      <w:pPr>
        <w:spacing w:after="240" w:line="360" w:lineRule="auto"/>
      </w:pPr>
      <w:r w:rsidRPr="00D32258">
        <w:t xml:space="preserve">Most major international streamers ask for an HDR delivery, as do many major studios and local streamers. Broadcast delivery is mostly still SDR, although that will gradually shift to HDR as well. </w:t>
      </w:r>
    </w:p>
    <w:p w14:paraId="76329F55" w14:textId="1B4AE72E" w:rsidR="001273FF" w:rsidRDefault="00D32258" w:rsidP="00B42B06">
      <w:pPr>
        <w:spacing w:after="240" w:line="360" w:lineRule="auto"/>
      </w:pPr>
      <w:r w:rsidRPr="00D32258">
        <w:t>Does delivering your production in HDR change your process? The simple answer is: it depends. Because HDR gives you a wider range of colours and contrasts to choose from, there are more options available, and this can impact other aesthetic decisions. For example, in your lighting, framing, production design, wardrobe and make-up, you can choose to use the wider dynamic range that HDR offers, but also the extra colour detail that comes with working in HDR. This depends on personal preferences and previously decided workflows, which is why some filmmakers would describe the changes as minimal while others consider it a paradigm shift.</w:t>
      </w:r>
    </w:p>
    <w:p w14:paraId="3FA54150" w14:textId="02FB1C02" w:rsidR="00B42B06" w:rsidRDefault="00B42B06" w:rsidP="008A183B">
      <w:pPr>
        <w:spacing w:after="240" w:line="360" w:lineRule="auto"/>
      </w:pPr>
      <w:r w:rsidRPr="00B42B06">
        <w:t>It is highly recommended during pre-production to discuss the look and feel of the production, to exchange references and finally, to shoot representative test materials that you will review together in</w:t>
      </w:r>
      <w:r w:rsidR="0008212E">
        <w:t xml:space="preserve"> </w:t>
      </w:r>
      <w:r w:rsidR="0008212E" w:rsidRPr="0008212E">
        <w:t>the HDR grading suite. If this is done, everyone should be aware of what, if anything, changes for them because of the HDR.</w:t>
      </w:r>
    </w:p>
    <w:p w14:paraId="3C73B1BA" w14:textId="77777777" w:rsidR="008A183B" w:rsidRDefault="008A183B" w:rsidP="00B93CF9">
      <w:pPr>
        <w:spacing w:after="240" w:line="360" w:lineRule="auto"/>
      </w:pPr>
      <w:r w:rsidRPr="008A183B">
        <w:t xml:space="preserve">Choosing the right camera for your production requires good communication between the camera, production and the picture post departments, as well as undergoing rigorous testing. </w:t>
      </w:r>
    </w:p>
    <w:p w14:paraId="22568C76" w14:textId="77777777" w:rsidR="00B93CF9" w:rsidRPr="00B93CF9" w:rsidRDefault="00B93CF9" w:rsidP="00B93CF9">
      <w:pPr>
        <w:spacing w:line="360" w:lineRule="auto"/>
      </w:pPr>
      <w:r w:rsidRPr="00B93CF9">
        <w:t xml:space="preserve">On the technical level, if you want to deliver HDR, it is important to make sure that you shoot with a camera that </w:t>
      </w:r>
    </w:p>
    <w:p w14:paraId="6D574D53" w14:textId="77777777" w:rsidR="00B93CF9" w:rsidRPr="00B93CF9" w:rsidRDefault="00B93CF9" w:rsidP="00B93CF9">
      <w:pPr>
        <w:spacing w:line="360" w:lineRule="auto"/>
      </w:pPr>
    </w:p>
    <w:p w14:paraId="5F336927" w14:textId="77777777" w:rsidR="00B93CF9" w:rsidRDefault="00B93CF9" w:rsidP="00B93CF9">
      <w:pPr>
        <w:pStyle w:val="ListParagraph"/>
        <w:numPr>
          <w:ilvl w:val="0"/>
          <w:numId w:val="18"/>
        </w:numPr>
        <w:spacing w:line="360" w:lineRule="auto"/>
      </w:pPr>
      <w:r w:rsidRPr="00B93CF9">
        <w:lastRenderedPageBreak/>
        <w:t>shoots in a scene-referred colour space;</w:t>
      </w:r>
    </w:p>
    <w:p w14:paraId="340B5B66" w14:textId="77777777" w:rsidR="00B93CF9" w:rsidRDefault="00B93CF9" w:rsidP="00B93CF9">
      <w:pPr>
        <w:pStyle w:val="ListParagraph"/>
        <w:numPr>
          <w:ilvl w:val="0"/>
          <w:numId w:val="18"/>
        </w:numPr>
        <w:spacing w:line="360" w:lineRule="auto"/>
      </w:pPr>
      <w:r w:rsidRPr="00B93CF9">
        <w:t xml:space="preserve"> records in a RAW or a high-quality codec;</w:t>
      </w:r>
    </w:p>
    <w:p w14:paraId="76F90F9C" w14:textId="77777777" w:rsidR="00B93CF9" w:rsidRDefault="00B93CF9" w:rsidP="00B93CF9">
      <w:pPr>
        <w:pStyle w:val="ListParagraph"/>
        <w:numPr>
          <w:ilvl w:val="0"/>
          <w:numId w:val="18"/>
        </w:numPr>
        <w:spacing w:line="360" w:lineRule="auto"/>
      </w:pPr>
      <w:r w:rsidRPr="00B93CF9">
        <w:t>records in at least 10-bit;</w:t>
      </w:r>
    </w:p>
    <w:p w14:paraId="208690B9" w14:textId="77777777" w:rsidR="00B93CF9" w:rsidRDefault="00B93CF9" w:rsidP="00B93CF9">
      <w:pPr>
        <w:pStyle w:val="ListParagraph"/>
        <w:numPr>
          <w:ilvl w:val="0"/>
          <w:numId w:val="18"/>
        </w:numPr>
        <w:spacing w:line="360" w:lineRule="auto"/>
      </w:pPr>
      <w:r w:rsidRPr="00B93CF9">
        <w:t>uses a high-quality data rate;</w:t>
      </w:r>
    </w:p>
    <w:p w14:paraId="7CBF1E35" w14:textId="73F1B7B4" w:rsidR="00B93CF9" w:rsidRDefault="00B93CF9" w:rsidP="00E8350D">
      <w:pPr>
        <w:pStyle w:val="ListParagraph"/>
        <w:numPr>
          <w:ilvl w:val="0"/>
          <w:numId w:val="18"/>
        </w:numPr>
        <w:spacing w:after="240" w:line="360" w:lineRule="auto"/>
      </w:pPr>
      <w:r w:rsidRPr="00B93CF9">
        <w:t>has an adequate sensor for high dynamic range.</w:t>
      </w:r>
    </w:p>
    <w:p w14:paraId="3FECAD10" w14:textId="61264931" w:rsidR="00B93CF9" w:rsidRDefault="00E8350D" w:rsidP="00CB6EC0">
      <w:pPr>
        <w:spacing w:after="240" w:line="360" w:lineRule="auto"/>
      </w:pPr>
      <w:r w:rsidRPr="00E8350D">
        <w:t>Ideally, we would monitor our camera signal in HDR on-set. Until recently, that was not feasible for most productions because suitable HDR displays were too expensive. This is rapidly changing, putting the option to have at least one HDR monitor on-set within range for most productions in the near future. Having this option on-set helps you to have a better idea of what the extra dynamic range will bring to the images that are being shot.</w:t>
      </w:r>
    </w:p>
    <w:p w14:paraId="5A5D4ABD" w14:textId="1846770D" w:rsidR="00CB6EC0" w:rsidRPr="00CB6EC0" w:rsidRDefault="00CB6EC0" w:rsidP="00CB6EC0">
      <w:pPr>
        <w:spacing w:after="240" w:line="360" w:lineRule="auto"/>
      </w:pPr>
      <w:r w:rsidRPr="00CB6EC0">
        <w:t>What about the grading?</w:t>
      </w:r>
    </w:p>
    <w:p w14:paraId="20B17CD4" w14:textId="2007ABF8" w:rsidR="00CB6EC0" w:rsidRPr="00CB6EC0" w:rsidRDefault="00CB6EC0" w:rsidP="00CB6EC0">
      <w:pPr>
        <w:spacing w:after="240" w:line="360" w:lineRule="auto"/>
      </w:pPr>
      <w:r w:rsidRPr="00CB6EC0">
        <w:t xml:space="preserve">The biggest changes in workflow when delivering for HDR take place in the grading room. Here, we will typically start grading our production on an HDR reference monitor, looking at the full palette that is available to us. </w:t>
      </w:r>
    </w:p>
    <w:p w14:paraId="01EA6F75" w14:textId="65A62EBD" w:rsidR="00CB6EC0" w:rsidRDefault="00CB6EC0" w:rsidP="00381869">
      <w:pPr>
        <w:spacing w:after="240" w:line="360" w:lineRule="auto"/>
      </w:pPr>
      <w:r w:rsidRPr="00CB6EC0">
        <w:t>After we’ve finished the HDR grade, we still need to create an SDR derivative version for those viewers who don’t have an HDR-</w:t>
      </w:r>
      <w:r w:rsidR="007825B4" w:rsidRPr="007825B4">
        <w:rPr>
          <w:rFonts w:ascii="Times New Roman" w:eastAsia="Times New Roman" w:hAnsi="Times New Roman" w:cs="Times New Roman"/>
        </w:rPr>
        <w:t xml:space="preserve"> </w:t>
      </w:r>
      <w:r w:rsidR="007825B4" w:rsidRPr="007825B4">
        <w:t>compatible setup at home. The way to get to this SDR version depends on the delivery format that is required by our distributor or broadcaster. We will get back to that in chapter 5, HDR delivery formats.</w:t>
      </w:r>
    </w:p>
    <w:p w14:paraId="5CA392DE" w14:textId="45696B09" w:rsidR="00AA7181" w:rsidRPr="00AA7181" w:rsidRDefault="00381869" w:rsidP="00381869">
      <w:pPr>
        <w:spacing w:line="360" w:lineRule="auto"/>
      </w:pPr>
      <w:r w:rsidRPr="00381869">
        <w:t>It is not uncommon for some of the source footage of a production to only exist as an SDR display referred version, for example, with archival footage or graphics. In this case, we would need to make sure that the images appear pleasing when placed into an HDR project. On the technical level, this is simple when a project is properly colour-managed. On a creative level, these images will need to be reviewed shot by shot as the Colourist will need to decide how best to balance the SDR material with the HDR material.</w:t>
      </w:r>
    </w:p>
    <w:p w14:paraId="0354DFBC" w14:textId="6102024C" w:rsidR="00BA4591" w:rsidRDefault="00442E62" w:rsidP="00BA4591">
      <w:pPr>
        <w:pStyle w:val="Heading1"/>
      </w:pPr>
      <w:bookmarkStart w:id="13" w:name="_Chapter_Five:_Post"/>
      <w:bookmarkStart w:id="14" w:name="_Chapter_Five:_Colour"/>
      <w:bookmarkEnd w:id="13"/>
      <w:bookmarkEnd w:id="14"/>
      <w:r w:rsidRPr="00442E62">
        <w:rPr>
          <w:b/>
          <w:bCs/>
        </w:rPr>
        <w:t xml:space="preserve">Chapter Five: </w:t>
      </w:r>
      <w:r w:rsidR="00381869">
        <w:t>HDR delivery formats</w:t>
      </w:r>
    </w:p>
    <w:p w14:paraId="13C2C35E" w14:textId="6BE6A373" w:rsidR="00B47A11" w:rsidRDefault="00B47A11" w:rsidP="006D56B1">
      <w:pPr>
        <w:spacing w:after="240" w:line="360" w:lineRule="auto"/>
      </w:pPr>
      <w:r w:rsidRPr="00B47A11">
        <w:t xml:space="preserve">You may have noticed that we refer to TV and home cinema almost exclusively when talking about HDR. That is because HDR for cinema is still in its infancy. Top-tier Dolby Cinema </w:t>
      </w:r>
      <w:r w:rsidRPr="00B47A11">
        <w:lastRenderedPageBreak/>
        <w:t>venues will present an image with a higher dynamic range than our old cinema standards, but the real revolution is currently taking place in the home.</w:t>
      </w:r>
    </w:p>
    <w:p w14:paraId="0FBF7B42" w14:textId="77777777" w:rsidR="00985958" w:rsidRPr="00985958" w:rsidRDefault="00985958" w:rsidP="006D56B1">
      <w:pPr>
        <w:spacing w:after="240" w:line="360" w:lineRule="auto"/>
      </w:pPr>
      <w:r w:rsidRPr="00985958">
        <w:t>As is common when new technologies are being introduced, we are dealing with some competing HDR standards, such as:</w:t>
      </w:r>
    </w:p>
    <w:p w14:paraId="0E179A16" w14:textId="77777777" w:rsidR="006D56B1" w:rsidRDefault="00985958" w:rsidP="006D56B1">
      <w:pPr>
        <w:pStyle w:val="ListParagraph"/>
        <w:numPr>
          <w:ilvl w:val="0"/>
          <w:numId w:val="20"/>
        </w:numPr>
        <w:spacing w:line="360" w:lineRule="auto"/>
      </w:pPr>
      <w:r w:rsidRPr="00985958">
        <w:t>HDR 10;</w:t>
      </w:r>
      <w:sdt>
        <w:sdtPr>
          <w:tag w:val="goog_rdk_6"/>
          <w:id w:val="-1642106421"/>
        </w:sdtPr>
        <w:sdtContent/>
      </w:sdt>
    </w:p>
    <w:p w14:paraId="7BA159B7" w14:textId="77777777" w:rsidR="006D56B1" w:rsidRDefault="00985958" w:rsidP="006D56B1">
      <w:pPr>
        <w:pStyle w:val="ListParagraph"/>
        <w:numPr>
          <w:ilvl w:val="0"/>
          <w:numId w:val="20"/>
        </w:numPr>
        <w:spacing w:line="360" w:lineRule="auto"/>
      </w:pPr>
      <w:r w:rsidRPr="00985958">
        <w:t>Dolby Vision;</w:t>
      </w:r>
    </w:p>
    <w:p w14:paraId="322945CD" w14:textId="77777777" w:rsidR="006D56B1" w:rsidRDefault="00985958" w:rsidP="006D56B1">
      <w:pPr>
        <w:pStyle w:val="ListParagraph"/>
        <w:numPr>
          <w:ilvl w:val="0"/>
          <w:numId w:val="20"/>
        </w:numPr>
        <w:spacing w:line="360" w:lineRule="auto"/>
      </w:pPr>
      <w:r w:rsidRPr="00985958">
        <w:t>HDR Vivid;</w:t>
      </w:r>
    </w:p>
    <w:p w14:paraId="4B492161" w14:textId="77777777" w:rsidR="006D56B1" w:rsidRDefault="006D56B1" w:rsidP="006D56B1">
      <w:pPr>
        <w:pStyle w:val="ListParagraph"/>
        <w:numPr>
          <w:ilvl w:val="0"/>
          <w:numId w:val="20"/>
        </w:numPr>
        <w:spacing w:line="360" w:lineRule="auto"/>
      </w:pPr>
      <w:r>
        <w:t>HDR 10+;</w:t>
      </w:r>
    </w:p>
    <w:p w14:paraId="3388698A" w14:textId="138B8C8F" w:rsidR="00985958" w:rsidRPr="00985958" w:rsidRDefault="00985958" w:rsidP="006D56B1">
      <w:pPr>
        <w:pStyle w:val="ListParagraph"/>
        <w:numPr>
          <w:ilvl w:val="0"/>
          <w:numId w:val="20"/>
        </w:numPr>
        <w:spacing w:after="240" w:line="360" w:lineRule="auto"/>
      </w:pPr>
      <w:r w:rsidRPr="00985958">
        <w:t>and HLG, or Hybrid Log Gamma</w:t>
      </w:r>
    </w:p>
    <w:p w14:paraId="4B546E8B" w14:textId="1345AED9" w:rsidR="00985958" w:rsidRDefault="00985958" w:rsidP="00A157AC">
      <w:pPr>
        <w:spacing w:after="240" w:line="360" w:lineRule="auto"/>
      </w:pPr>
      <w:r w:rsidRPr="00985958">
        <w:t>These all have different benefits and drawbacks.</w:t>
      </w:r>
    </w:p>
    <w:p w14:paraId="313584FA" w14:textId="22C63F63" w:rsidR="00A157AC" w:rsidRPr="00A157AC" w:rsidRDefault="00A157AC" w:rsidP="00A157AC">
      <w:pPr>
        <w:spacing w:after="240" w:line="360" w:lineRule="auto"/>
      </w:pPr>
      <w:r w:rsidRPr="00A157AC">
        <w:t xml:space="preserve">One thing that all these standards have in common is that the TVs and displays that support one or multiple of these standards will also be able to display traditional SDR content. </w:t>
      </w:r>
    </w:p>
    <w:p w14:paraId="594BE579" w14:textId="585D92C4" w:rsidR="00A157AC" w:rsidRDefault="00A157AC" w:rsidP="00850669">
      <w:pPr>
        <w:spacing w:before="240" w:after="240" w:line="360" w:lineRule="auto"/>
      </w:pPr>
      <w:r w:rsidRPr="00A157AC">
        <w:t>That means that the display needs to know what type of content it is receiving, to make sure that it shows the content correctly. Most HDR standards rely on metadata to be sent with the media. This metadata specifi</w:t>
      </w:r>
      <w:r w:rsidR="007E65C8">
        <w:t>e</w:t>
      </w:r>
      <w:r w:rsidRPr="00A157AC">
        <w:t>s the HDR standard and is therefore a crucial part of the goal to have a</w:t>
      </w:r>
      <w:r>
        <w:t xml:space="preserve"> closer match between what the viewers see and </w:t>
      </w:r>
      <w:r w:rsidR="006A012D">
        <w:t>what was seen in the grading room.</w:t>
      </w:r>
    </w:p>
    <w:p w14:paraId="14D769F5" w14:textId="77777777" w:rsidR="00850669" w:rsidRPr="00850669" w:rsidRDefault="00850669" w:rsidP="00850669">
      <w:pPr>
        <w:spacing w:after="240" w:line="360" w:lineRule="auto"/>
      </w:pPr>
      <w:r w:rsidRPr="00850669">
        <w:t>The main differences between those competing standards are that:</w:t>
      </w:r>
    </w:p>
    <w:p w14:paraId="13BD5F86" w14:textId="77777777" w:rsidR="00850669" w:rsidRDefault="00850669" w:rsidP="00850669">
      <w:pPr>
        <w:pStyle w:val="ListParagraph"/>
        <w:numPr>
          <w:ilvl w:val="0"/>
          <w:numId w:val="22"/>
        </w:numPr>
        <w:spacing w:line="360" w:lineRule="auto"/>
      </w:pPr>
      <w:r w:rsidRPr="00850669">
        <w:t>Firstly,</w:t>
      </w:r>
    </w:p>
    <w:p w14:paraId="00F4F81A" w14:textId="77777777" w:rsidR="00850669" w:rsidRDefault="00850669" w:rsidP="00C23033">
      <w:pPr>
        <w:pStyle w:val="ListParagraph"/>
        <w:numPr>
          <w:ilvl w:val="1"/>
          <w:numId w:val="22"/>
        </w:numPr>
        <w:spacing w:line="360" w:lineRule="auto"/>
      </w:pPr>
      <w:r w:rsidRPr="00850669">
        <w:t>HDR 10, Dolby Vision, HDR Vivid and HDR10+ are predominantly used by streaming media companies, whereas HLG is made for and used by broadcasters to bring HDR to live TV and sports.</w:t>
      </w:r>
    </w:p>
    <w:p w14:paraId="2CAA8F57" w14:textId="77777777" w:rsidR="00850669" w:rsidRDefault="00850669" w:rsidP="00850669">
      <w:pPr>
        <w:pStyle w:val="ListParagraph"/>
        <w:numPr>
          <w:ilvl w:val="0"/>
          <w:numId w:val="22"/>
        </w:numPr>
        <w:spacing w:line="360" w:lineRule="auto"/>
      </w:pPr>
      <w:r w:rsidRPr="00850669">
        <w:t>Secondly:</w:t>
      </w:r>
    </w:p>
    <w:p w14:paraId="6428DA5E" w14:textId="6E81C01E" w:rsidR="00850669" w:rsidRDefault="00850669" w:rsidP="00C23033">
      <w:pPr>
        <w:pStyle w:val="ListParagraph"/>
        <w:numPr>
          <w:ilvl w:val="1"/>
          <w:numId w:val="22"/>
        </w:numPr>
        <w:spacing w:line="360" w:lineRule="auto"/>
      </w:pPr>
      <w:r w:rsidRPr="00850669">
        <w:t>Dolby Vision, HDR10+ and HDR Vivid provide specific metadata to inform</w:t>
      </w:r>
      <w:r w:rsidR="00947C00">
        <w:t xml:space="preserve"> the display about what the content should look like. </w:t>
      </w:r>
      <w:r w:rsidR="00282A71" w:rsidRPr="00282A71">
        <w:t xml:space="preserve">This metadata will be used to adapt to the display and adhere to the creative intentions of the Colourist. We call this process tone mapping or highlight roll-off. HDR10 provides very limited metadata for this same process, giving less certainty about the </w:t>
      </w:r>
      <w:r w:rsidR="00282A71" w:rsidRPr="00282A71">
        <w:lastRenderedPageBreak/>
        <w:t>preservation of the creative intent.</w:t>
      </w:r>
      <w:r w:rsidR="00282A71">
        <w:t xml:space="preserve"> </w:t>
      </w:r>
      <w:r w:rsidR="00282A71" w:rsidRPr="00282A71">
        <w:t>HLG provides no metadata on how to tone map the content to the display’s capabilities. Meaning that in theory, HLG is a format that is backwards compatible with older SDR displays. On SDR displays,</w:t>
      </w:r>
      <w:r w:rsidR="00282A71">
        <w:t xml:space="preserve"> HLG images won’t look exactly as intended but will be an approximation. </w:t>
      </w:r>
    </w:p>
    <w:p w14:paraId="4A235B96" w14:textId="77777777" w:rsidR="00A946F6" w:rsidRPr="007E65C8" w:rsidRDefault="00A946F6" w:rsidP="00A946F6">
      <w:pPr>
        <w:numPr>
          <w:ilvl w:val="0"/>
          <w:numId w:val="22"/>
        </w:numPr>
        <w:spacing w:line="276" w:lineRule="auto"/>
        <w:rPr>
          <w:rFonts w:eastAsia="Times New Roman" w:cs="Times New Roman"/>
        </w:rPr>
      </w:pPr>
      <w:r w:rsidRPr="007E65C8">
        <w:rPr>
          <w:rFonts w:eastAsia="Times New Roman" w:cs="Times New Roman"/>
        </w:rPr>
        <w:t>And finally:</w:t>
      </w:r>
    </w:p>
    <w:p w14:paraId="03657A9F" w14:textId="3838A4AF" w:rsidR="00A946F6" w:rsidRPr="007E65C8" w:rsidRDefault="00A946F6" w:rsidP="00702B1E">
      <w:pPr>
        <w:pStyle w:val="ListParagraph"/>
        <w:numPr>
          <w:ilvl w:val="1"/>
          <w:numId w:val="22"/>
        </w:numPr>
        <w:spacing w:after="240" w:line="360" w:lineRule="auto"/>
      </w:pPr>
      <w:r w:rsidRPr="007E65C8">
        <w:rPr>
          <w:rFonts w:eastAsia="Times New Roman" w:cs="Times New Roman"/>
        </w:rPr>
        <w:t xml:space="preserve">The metadata delivered with Dolby Vision, HDR10+ and HDR Vivid masters also describes what an SDR version of the same content should look like. </w:t>
      </w:r>
      <w:r w:rsidR="00C7167A" w:rsidRPr="007E65C8">
        <w:rPr>
          <w:rFonts w:eastAsia="Times New Roman" w:cs="Times New Roman"/>
        </w:rPr>
        <w:t>This enables filmmakers and content creators to deliver one single master that a distributor can use to create both HDR and SDR derivatives. With HDR10 on the other hand, it will be necessary to deliver a separate SDR master. With HLG,  in theory, a single master can work, but</w:t>
      </w:r>
      <w:r w:rsidR="00C23033" w:rsidRPr="007E65C8">
        <w:rPr>
          <w:rFonts w:eastAsia="Times New Roman" w:cs="Times New Roman"/>
        </w:rPr>
        <w:t xml:space="preserve"> in practice, it is still wise to also deliver an SDR master.</w:t>
      </w:r>
    </w:p>
    <w:p w14:paraId="263F06FE" w14:textId="3147C816" w:rsidR="00702B1E" w:rsidRDefault="00702B1E" w:rsidP="00DE0EC2">
      <w:pPr>
        <w:spacing w:after="240" w:line="360" w:lineRule="auto"/>
      </w:pPr>
      <w:r w:rsidRPr="00702B1E">
        <w:t>Which of these standards you will have to adhere to depends exclusively on the delivery requirements of your distributor or broadcaster. Typically, you will find that broadcasters ask for HLG delivery, whereas most major streamers prefer or require a Dolby Vision deliverable. Online video platforms might accept both HDR 10 as well as HLG.</w:t>
      </w:r>
    </w:p>
    <w:p w14:paraId="379BD1DA" w14:textId="6768D357" w:rsidR="00DE0EC2" w:rsidRPr="00DE0EC2" w:rsidRDefault="00DE0EC2" w:rsidP="00DE0EC2">
      <w:pPr>
        <w:spacing w:after="240" w:line="360" w:lineRule="auto"/>
      </w:pPr>
      <w:r w:rsidRPr="00DE0EC2">
        <w:t xml:space="preserve">Your HDR delivery standard only impacts your workflow within the grading suite and won’t affect your production choices. This is because the different standards require different methods to create an SDR derivative version, and the delivery process is different. Your post-production house should be aware of the differences and can guide you through the delivery process. </w:t>
      </w:r>
    </w:p>
    <w:p w14:paraId="5A1141F2" w14:textId="7F6670B2" w:rsidR="00DE0EC2" w:rsidRPr="00DE0EC2" w:rsidRDefault="00DE0EC2" w:rsidP="00DE0EC2">
      <w:pPr>
        <w:spacing w:after="240" w:line="360" w:lineRule="auto"/>
      </w:pPr>
      <w:r w:rsidRPr="00DE0EC2">
        <w:t xml:space="preserve">To decide on the right workflow, it’s important you discuss this with your: </w:t>
      </w:r>
    </w:p>
    <w:p w14:paraId="631BC923" w14:textId="77777777" w:rsidR="00DE0EC2" w:rsidRPr="00DE0EC2" w:rsidRDefault="00DE0EC2" w:rsidP="00DE0EC2">
      <w:pPr>
        <w:spacing w:line="360" w:lineRule="auto"/>
      </w:pPr>
      <w:r w:rsidRPr="00DE0EC2">
        <w:t>Cinematographer</w:t>
      </w:r>
    </w:p>
    <w:p w14:paraId="3C0036F5" w14:textId="77777777" w:rsidR="00DE0EC2" w:rsidRDefault="00DE0EC2" w:rsidP="00DE0EC2">
      <w:pPr>
        <w:spacing w:line="360" w:lineRule="auto"/>
      </w:pPr>
      <w:r w:rsidRPr="00DE0EC2">
        <w:t>DIT</w:t>
      </w:r>
    </w:p>
    <w:p w14:paraId="1142F35B" w14:textId="77777777" w:rsidR="00AC3AC4" w:rsidRPr="00AC3AC4" w:rsidRDefault="00AC3AC4" w:rsidP="00AC3AC4">
      <w:pPr>
        <w:spacing w:line="360" w:lineRule="auto"/>
      </w:pPr>
      <w:r w:rsidRPr="00AC3AC4">
        <w:t>Colourist</w:t>
      </w:r>
    </w:p>
    <w:p w14:paraId="507EA1BB" w14:textId="77777777" w:rsidR="00AC3AC4" w:rsidRPr="00AC3AC4" w:rsidRDefault="00AC3AC4" w:rsidP="00AC3AC4">
      <w:pPr>
        <w:spacing w:line="360" w:lineRule="auto"/>
      </w:pPr>
      <w:r w:rsidRPr="00AC3AC4">
        <w:t>Post Production House</w:t>
      </w:r>
    </w:p>
    <w:p w14:paraId="250F5B33" w14:textId="77777777" w:rsidR="00AC3AC4" w:rsidRPr="00AC3AC4" w:rsidRDefault="00AC3AC4" w:rsidP="00AC3AC4">
      <w:pPr>
        <w:spacing w:line="360" w:lineRule="auto"/>
      </w:pPr>
      <w:r w:rsidRPr="00AC3AC4">
        <w:t>Post Production Supervisor</w:t>
      </w:r>
    </w:p>
    <w:p w14:paraId="592A8C51" w14:textId="77777777" w:rsidR="00AC3AC4" w:rsidRPr="00AC3AC4" w:rsidRDefault="00AC3AC4" w:rsidP="00AC3AC4">
      <w:pPr>
        <w:spacing w:line="360" w:lineRule="auto"/>
      </w:pPr>
      <w:r w:rsidRPr="00AC3AC4">
        <w:t>Producer</w:t>
      </w:r>
    </w:p>
    <w:p w14:paraId="744F4896" w14:textId="11C1C712" w:rsidR="00DE0EC2" w:rsidRPr="00B47A11" w:rsidRDefault="00AC3AC4" w:rsidP="00702B1E">
      <w:pPr>
        <w:spacing w:line="360" w:lineRule="auto"/>
      </w:pPr>
      <w:r w:rsidRPr="00AC3AC4">
        <w:t>Distributors</w:t>
      </w:r>
    </w:p>
    <w:p w14:paraId="2F80CAFF" w14:textId="3D8149F7" w:rsidR="00FA680E" w:rsidRDefault="00B161A1" w:rsidP="00B161A1">
      <w:pPr>
        <w:pStyle w:val="Heading1"/>
      </w:pPr>
      <w:bookmarkStart w:id="15" w:name="_Conclusion"/>
      <w:bookmarkStart w:id="16" w:name="_Chapter_Six:_Conclusions"/>
      <w:bookmarkEnd w:id="15"/>
      <w:bookmarkEnd w:id="16"/>
      <w:r w:rsidRPr="00442E62">
        <w:rPr>
          <w:b/>
          <w:bCs/>
        </w:rPr>
        <w:lastRenderedPageBreak/>
        <w:t>C</w:t>
      </w:r>
      <w:r w:rsidR="00442E62" w:rsidRPr="00442E62">
        <w:rPr>
          <w:b/>
          <w:bCs/>
        </w:rPr>
        <w:t>hapter Six:</w:t>
      </w:r>
      <w:r w:rsidR="00442E62">
        <w:t xml:space="preserve"> Conclusions</w:t>
      </w:r>
    </w:p>
    <w:p w14:paraId="26E8ADC7" w14:textId="77777777" w:rsidR="00903000" w:rsidRDefault="00903000" w:rsidP="00903000">
      <w:pPr>
        <w:spacing w:after="200" w:line="360" w:lineRule="auto"/>
      </w:pPr>
      <w:r w:rsidRPr="00903000">
        <w:t>To conclude, our takeaways from this session should be:</w:t>
      </w:r>
    </w:p>
    <w:p w14:paraId="43EE255A" w14:textId="77777777" w:rsidR="00903000" w:rsidRDefault="00903000" w:rsidP="00903000">
      <w:pPr>
        <w:pStyle w:val="ListParagraph"/>
        <w:numPr>
          <w:ilvl w:val="0"/>
          <w:numId w:val="25"/>
        </w:numPr>
        <w:spacing w:after="200" w:line="360" w:lineRule="auto"/>
      </w:pPr>
      <w:r w:rsidRPr="00903000">
        <w:t xml:space="preserve">High Dynamic Range is an umbrella term for a group of new standards. </w:t>
      </w:r>
    </w:p>
    <w:p w14:paraId="05958538" w14:textId="77777777" w:rsidR="00903000" w:rsidRDefault="00903000" w:rsidP="00903000">
      <w:pPr>
        <w:pStyle w:val="ListParagraph"/>
        <w:numPr>
          <w:ilvl w:val="0"/>
          <w:numId w:val="25"/>
        </w:numPr>
        <w:spacing w:after="200" w:line="360" w:lineRule="auto"/>
      </w:pPr>
      <w:r w:rsidRPr="00903000">
        <w:t>These standards provide a way to make use of the higher technical capabilities of modern displays.</w:t>
      </w:r>
    </w:p>
    <w:p w14:paraId="4F3B4413" w14:textId="77777777" w:rsidR="00903000" w:rsidRDefault="00903000" w:rsidP="00903000">
      <w:pPr>
        <w:pStyle w:val="ListParagraph"/>
        <w:numPr>
          <w:ilvl w:val="0"/>
          <w:numId w:val="25"/>
        </w:numPr>
        <w:spacing w:after="200" w:line="360" w:lineRule="auto"/>
      </w:pPr>
      <w:r w:rsidRPr="00903000">
        <w:t xml:space="preserve">HDR content doesn’t have to be bright and shiny, nor does it need to make use of the full dynamic range provided by the standards. That is a creative decision.  </w:t>
      </w:r>
    </w:p>
    <w:p w14:paraId="6D0C748B" w14:textId="77777777" w:rsidR="005E4924" w:rsidRDefault="00903000" w:rsidP="00903000">
      <w:pPr>
        <w:pStyle w:val="ListParagraph"/>
        <w:numPr>
          <w:ilvl w:val="0"/>
          <w:numId w:val="25"/>
        </w:numPr>
        <w:spacing w:after="200" w:line="360" w:lineRule="auto"/>
      </w:pPr>
      <w:r w:rsidRPr="00903000">
        <w:t xml:space="preserve">The impact of an HDR delivery requirement varies between productions. Therefore, it is important to discuss and shoot representative tests ahead of starting to shoot an HDR production. </w:t>
      </w:r>
    </w:p>
    <w:p w14:paraId="2B258228" w14:textId="7CE15F28" w:rsidR="006F5058" w:rsidRDefault="00903000" w:rsidP="00903000">
      <w:pPr>
        <w:pStyle w:val="ListParagraph"/>
        <w:numPr>
          <w:ilvl w:val="0"/>
          <w:numId w:val="25"/>
        </w:numPr>
        <w:spacing w:after="200" w:line="360" w:lineRule="auto"/>
      </w:pPr>
      <w:r w:rsidRPr="00903000">
        <w:t>Different distributors use different HDR standards, but the workflow for all of them is fairly similar.</w:t>
      </w:r>
    </w:p>
    <w:p w14:paraId="687F1407" w14:textId="58FF1178" w:rsidR="00A16E80" w:rsidRPr="006F5058" w:rsidRDefault="00547DD6" w:rsidP="006F5058">
      <w:pPr>
        <w:spacing w:after="200" w:line="360" w:lineRule="auto"/>
        <w:ind w:left="360"/>
      </w:pPr>
      <w:r w:rsidRPr="00E00E76">
        <w:rPr>
          <w:rStyle w:val="Strong"/>
        </w:rPr>
        <w:t>This is the end of the content.</w:t>
      </w:r>
      <w:bookmarkStart w:id="17" w:name="_TITLE:_BASIC_ONBOARDING"/>
      <w:bookmarkStart w:id="18" w:name="_BASIC_ONBOARDING_CHECKLIST"/>
      <w:bookmarkEnd w:id="17"/>
      <w:bookmarkEnd w:id="18"/>
    </w:p>
    <w:sectPr w:rsidR="00A16E80" w:rsidRPr="006F5058"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B46C8" w14:textId="77777777" w:rsidR="00086ABC" w:rsidRDefault="00086ABC" w:rsidP="00D67E94">
      <w:r>
        <w:separator/>
      </w:r>
    </w:p>
  </w:endnote>
  <w:endnote w:type="continuationSeparator" w:id="0">
    <w:p w14:paraId="3A7116A6" w14:textId="77777777" w:rsidR="00086ABC" w:rsidRDefault="00086ABC"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2F10B57-447F-2449-B02D-B425CB0331F0}"/>
  </w:font>
  <w:font w:name="Times New Roman">
    <w:panose1 w:val="02020603050405020304"/>
    <w:charset w:val="00"/>
    <w:family w:val="roman"/>
    <w:pitch w:val="variable"/>
    <w:sig w:usb0="E0002EFF" w:usb1="C000785B" w:usb2="00000009" w:usb3="00000000" w:csb0="000001FF" w:csb1="00000000"/>
    <w:embedRegular r:id="rId2" w:fontKey="{F269B48C-0C1D-B248-AF76-C8F0C81B8C92}"/>
    <w:embedBold r:id="rId3" w:fontKey="{351C694A-82A5-CB4E-867B-9FE43A9588AE}"/>
    <w:embedItalic r:id="rId4" w:fontKey="{B5A46F11-32A4-5441-9232-2BA6D3010B46}"/>
  </w:font>
  <w:font w:name="Courier New">
    <w:panose1 w:val="02070309020205020404"/>
    <w:charset w:val="00"/>
    <w:family w:val="modern"/>
    <w:pitch w:val="fixed"/>
    <w:sig w:usb0="E0002AFF" w:usb1="C0007843" w:usb2="00000009" w:usb3="00000000" w:csb0="000001FF" w:csb1="00000000"/>
    <w:embedRegular r:id="rId5" w:fontKey="{DFD35FF3-E91D-1147-AA0A-EAD8901EF442}"/>
  </w:font>
  <w:font w:name="Wingdings">
    <w:panose1 w:val="05000000000000000000"/>
    <w:charset w:val="4D"/>
    <w:family w:val="decorative"/>
    <w:pitch w:val="variable"/>
    <w:sig w:usb0="00000003" w:usb1="00000000" w:usb2="00000000" w:usb3="00000000" w:csb0="80000001" w:csb1="00000000"/>
    <w:embedRegular r:id="rId6" w:fontKey="{0D767A2E-A8E9-AB4D-A7CD-0C110E257008}"/>
  </w:font>
  <w:font w:name="Atkinson Hyperlegible">
    <w:altName w:val="Calibri"/>
    <w:panose1 w:val="020B0604020202020204"/>
    <w:charset w:val="00"/>
    <w:family w:val="modern"/>
    <w:notTrueType/>
    <w:pitch w:val="variable"/>
    <w:sig w:usb0="0000002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5F10F" w14:textId="77777777" w:rsidR="00086ABC" w:rsidRDefault="00086ABC" w:rsidP="00D67E94">
      <w:r>
        <w:separator/>
      </w:r>
    </w:p>
  </w:footnote>
  <w:footnote w:type="continuationSeparator" w:id="0">
    <w:p w14:paraId="03EE2B41" w14:textId="77777777" w:rsidR="00086ABC" w:rsidRDefault="00086ABC"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376"/>
    <w:multiLevelType w:val="hybridMultilevel"/>
    <w:tmpl w:val="55923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231D1"/>
    <w:multiLevelType w:val="multilevel"/>
    <w:tmpl w:val="BDA4ED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DD819D1"/>
    <w:multiLevelType w:val="hybridMultilevel"/>
    <w:tmpl w:val="48229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88501D"/>
    <w:multiLevelType w:val="multilevel"/>
    <w:tmpl w:val="5748E1F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3C7D587B"/>
    <w:multiLevelType w:val="hybridMultilevel"/>
    <w:tmpl w:val="76481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B6A15"/>
    <w:multiLevelType w:val="multilevel"/>
    <w:tmpl w:val="CF92A3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3D867C56"/>
    <w:multiLevelType w:val="multilevel"/>
    <w:tmpl w:val="C6FA1A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41E53E74"/>
    <w:multiLevelType w:val="hybridMultilevel"/>
    <w:tmpl w:val="2C14583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A25024"/>
    <w:multiLevelType w:val="hybridMultilevel"/>
    <w:tmpl w:val="7980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9C37220"/>
    <w:multiLevelType w:val="multilevel"/>
    <w:tmpl w:val="EADA4F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55892CD2"/>
    <w:multiLevelType w:val="hybridMultilevel"/>
    <w:tmpl w:val="4C3AB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F559FC"/>
    <w:multiLevelType w:val="hybridMultilevel"/>
    <w:tmpl w:val="D598E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2"/>
  </w:num>
  <w:num w:numId="2" w16cid:durableId="530535971">
    <w:abstractNumId w:val="17"/>
  </w:num>
  <w:num w:numId="3" w16cid:durableId="2096971112">
    <w:abstractNumId w:val="23"/>
  </w:num>
  <w:num w:numId="4" w16cid:durableId="1720394577">
    <w:abstractNumId w:val="8"/>
  </w:num>
  <w:num w:numId="5" w16cid:durableId="70127369">
    <w:abstractNumId w:val="3"/>
  </w:num>
  <w:num w:numId="6" w16cid:durableId="1049763384">
    <w:abstractNumId w:val="24"/>
  </w:num>
  <w:num w:numId="7" w16cid:durableId="1305307337">
    <w:abstractNumId w:val="10"/>
  </w:num>
  <w:num w:numId="8" w16cid:durableId="1248732720">
    <w:abstractNumId w:val="4"/>
  </w:num>
  <w:num w:numId="9" w16cid:durableId="1800032502">
    <w:abstractNumId w:val="22"/>
  </w:num>
  <w:num w:numId="10" w16cid:durableId="166986864">
    <w:abstractNumId w:val="1"/>
  </w:num>
  <w:num w:numId="11" w16cid:durableId="1243877805">
    <w:abstractNumId w:val="15"/>
  </w:num>
  <w:num w:numId="12" w16cid:durableId="1159733453">
    <w:abstractNumId w:val="6"/>
  </w:num>
  <w:num w:numId="13" w16cid:durableId="1342009260">
    <w:abstractNumId w:val="21"/>
  </w:num>
  <w:num w:numId="14" w16cid:durableId="709066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4474577">
    <w:abstractNumId w:val="12"/>
  </w:num>
  <w:num w:numId="16" w16cid:durableId="1942834683">
    <w:abstractNumId w:val="19"/>
  </w:num>
  <w:num w:numId="17" w16cid:durableId="12006990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009461">
    <w:abstractNumId w:val="0"/>
  </w:num>
  <w:num w:numId="19" w16cid:durableId="1509951205">
    <w:abstractNumId w:val="5"/>
  </w:num>
  <w:num w:numId="20" w16cid:durableId="509875719">
    <w:abstractNumId w:val="14"/>
  </w:num>
  <w:num w:numId="21" w16cid:durableId="1884052778">
    <w:abstractNumId w:val="16"/>
  </w:num>
  <w:num w:numId="22" w16cid:durableId="515387722">
    <w:abstractNumId w:val="7"/>
  </w:num>
  <w:num w:numId="23" w16cid:durableId="961157701">
    <w:abstractNumId w:val="11"/>
  </w:num>
  <w:num w:numId="24" w16cid:durableId="1289698789">
    <w:abstractNumId w:val="13"/>
  </w:num>
  <w:num w:numId="25" w16cid:durableId="20615159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4076D"/>
    <w:rsid w:val="00041BB5"/>
    <w:rsid w:val="000473F8"/>
    <w:rsid w:val="00052F24"/>
    <w:rsid w:val="0005393E"/>
    <w:rsid w:val="00055361"/>
    <w:rsid w:val="00062491"/>
    <w:rsid w:val="00066FB3"/>
    <w:rsid w:val="00074EF1"/>
    <w:rsid w:val="0008198E"/>
    <w:rsid w:val="0008212E"/>
    <w:rsid w:val="00086ABC"/>
    <w:rsid w:val="00087601"/>
    <w:rsid w:val="0009029B"/>
    <w:rsid w:val="000930BC"/>
    <w:rsid w:val="000A1B12"/>
    <w:rsid w:val="000A4A45"/>
    <w:rsid w:val="000B1223"/>
    <w:rsid w:val="000E3EB1"/>
    <w:rsid w:val="00116362"/>
    <w:rsid w:val="001255D5"/>
    <w:rsid w:val="001273FF"/>
    <w:rsid w:val="00127FFE"/>
    <w:rsid w:val="00141CE8"/>
    <w:rsid w:val="00151300"/>
    <w:rsid w:val="00173922"/>
    <w:rsid w:val="001844F2"/>
    <w:rsid w:val="00194741"/>
    <w:rsid w:val="0019582F"/>
    <w:rsid w:val="001A3ADF"/>
    <w:rsid w:val="001A67F5"/>
    <w:rsid w:val="001E529F"/>
    <w:rsid w:val="001F2568"/>
    <w:rsid w:val="002001D8"/>
    <w:rsid w:val="002010D7"/>
    <w:rsid w:val="002168EB"/>
    <w:rsid w:val="00244097"/>
    <w:rsid w:val="00251A94"/>
    <w:rsid w:val="002525B5"/>
    <w:rsid w:val="00253182"/>
    <w:rsid w:val="00277ED2"/>
    <w:rsid w:val="00282A71"/>
    <w:rsid w:val="002900E7"/>
    <w:rsid w:val="002964DE"/>
    <w:rsid w:val="00296CD4"/>
    <w:rsid w:val="002C4F78"/>
    <w:rsid w:val="002E5074"/>
    <w:rsid w:val="00316B87"/>
    <w:rsid w:val="00323788"/>
    <w:rsid w:val="00336695"/>
    <w:rsid w:val="003400C4"/>
    <w:rsid w:val="00353B1E"/>
    <w:rsid w:val="00363A3D"/>
    <w:rsid w:val="00381869"/>
    <w:rsid w:val="00391819"/>
    <w:rsid w:val="00395C6E"/>
    <w:rsid w:val="003C5AFC"/>
    <w:rsid w:val="003D33ED"/>
    <w:rsid w:val="003E010A"/>
    <w:rsid w:val="003E3702"/>
    <w:rsid w:val="003E44EA"/>
    <w:rsid w:val="003E4F16"/>
    <w:rsid w:val="003F4245"/>
    <w:rsid w:val="003F6D35"/>
    <w:rsid w:val="00404088"/>
    <w:rsid w:val="00415E9D"/>
    <w:rsid w:val="00434941"/>
    <w:rsid w:val="00437DFD"/>
    <w:rsid w:val="00441772"/>
    <w:rsid w:val="00442E62"/>
    <w:rsid w:val="00462C8D"/>
    <w:rsid w:val="00463E3D"/>
    <w:rsid w:val="00482AF2"/>
    <w:rsid w:val="0048317D"/>
    <w:rsid w:val="0048580D"/>
    <w:rsid w:val="00487483"/>
    <w:rsid w:val="00494865"/>
    <w:rsid w:val="004A0FC2"/>
    <w:rsid w:val="004A4BB3"/>
    <w:rsid w:val="004D3D38"/>
    <w:rsid w:val="004E4B0D"/>
    <w:rsid w:val="004E66D3"/>
    <w:rsid w:val="004F04B6"/>
    <w:rsid w:val="005038D3"/>
    <w:rsid w:val="00507B64"/>
    <w:rsid w:val="005205F3"/>
    <w:rsid w:val="005206DD"/>
    <w:rsid w:val="00521C0D"/>
    <w:rsid w:val="005245B7"/>
    <w:rsid w:val="00525C34"/>
    <w:rsid w:val="0054396A"/>
    <w:rsid w:val="00547DD6"/>
    <w:rsid w:val="00554B7D"/>
    <w:rsid w:val="00564E1D"/>
    <w:rsid w:val="005711A7"/>
    <w:rsid w:val="00571BF4"/>
    <w:rsid w:val="005754A4"/>
    <w:rsid w:val="005801D7"/>
    <w:rsid w:val="0059403F"/>
    <w:rsid w:val="005A0463"/>
    <w:rsid w:val="005B09ED"/>
    <w:rsid w:val="005B4DC6"/>
    <w:rsid w:val="005B7D5E"/>
    <w:rsid w:val="005C6F5A"/>
    <w:rsid w:val="005D0555"/>
    <w:rsid w:val="005D27F6"/>
    <w:rsid w:val="005E4924"/>
    <w:rsid w:val="005E7BAE"/>
    <w:rsid w:val="005F0AA4"/>
    <w:rsid w:val="00603175"/>
    <w:rsid w:val="00610060"/>
    <w:rsid w:val="00613DE5"/>
    <w:rsid w:val="00625441"/>
    <w:rsid w:val="00626C69"/>
    <w:rsid w:val="00653CF2"/>
    <w:rsid w:val="00656DDC"/>
    <w:rsid w:val="00667DDB"/>
    <w:rsid w:val="00670AD0"/>
    <w:rsid w:val="006748AB"/>
    <w:rsid w:val="00675BD4"/>
    <w:rsid w:val="006906DD"/>
    <w:rsid w:val="00690954"/>
    <w:rsid w:val="00697DC3"/>
    <w:rsid w:val="006A012D"/>
    <w:rsid w:val="006A641A"/>
    <w:rsid w:val="006B1486"/>
    <w:rsid w:val="006D56B1"/>
    <w:rsid w:val="006E4AD0"/>
    <w:rsid w:val="006E7AD0"/>
    <w:rsid w:val="006F2D2F"/>
    <w:rsid w:val="006F5058"/>
    <w:rsid w:val="00700564"/>
    <w:rsid w:val="00702B1E"/>
    <w:rsid w:val="00703F3F"/>
    <w:rsid w:val="00704DED"/>
    <w:rsid w:val="007206E5"/>
    <w:rsid w:val="007248B9"/>
    <w:rsid w:val="00726AEA"/>
    <w:rsid w:val="007452E1"/>
    <w:rsid w:val="0075486F"/>
    <w:rsid w:val="0075549A"/>
    <w:rsid w:val="00766C08"/>
    <w:rsid w:val="00773726"/>
    <w:rsid w:val="007825B4"/>
    <w:rsid w:val="007842C8"/>
    <w:rsid w:val="00787088"/>
    <w:rsid w:val="0079173A"/>
    <w:rsid w:val="007961B6"/>
    <w:rsid w:val="007A083D"/>
    <w:rsid w:val="007C7C91"/>
    <w:rsid w:val="007D210A"/>
    <w:rsid w:val="007E2976"/>
    <w:rsid w:val="007E4B52"/>
    <w:rsid w:val="007E65C8"/>
    <w:rsid w:val="007F1312"/>
    <w:rsid w:val="0081340F"/>
    <w:rsid w:val="008142D7"/>
    <w:rsid w:val="00816587"/>
    <w:rsid w:val="00817D77"/>
    <w:rsid w:val="0082581A"/>
    <w:rsid w:val="00850669"/>
    <w:rsid w:val="00852178"/>
    <w:rsid w:val="0089687E"/>
    <w:rsid w:val="00896E1C"/>
    <w:rsid w:val="008A183B"/>
    <w:rsid w:val="008C0A28"/>
    <w:rsid w:val="008D3BE0"/>
    <w:rsid w:val="008E0CE8"/>
    <w:rsid w:val="008F132A"/>
    <w:rsid w:val="008F5554"/>
    <w:rsid w:val="00903000"/>
    <w:rsid w:val="009177F7"/>
    <w:rsid w:val="009276CA"/>
    <w:rsid w:val="00942DB3"/>
    <w:rsid w:val="00946E26"/>
    <w:rsid w:val="00947C00"/>
    <w:rsid w:val="0095146B"/>
    <w:rsid w:val="009630B4"/>
    <w:rsid w:val="00965F66"/>
    <w:rsid w:val="0098125E"/>
    <w:rsid w:val="00985958"/>
    <w:rsid w:val="009B7036"/>
    <w:rsid w:val="009C540F"/>
    <w:rsid w:val="009D2C98"/>
    <w:rsid w:val="009F1FC7"/>
    <w:rsid w:val="00A03123"/>
    <w:rsid w:val="00A157AC"/>
    <w:rsid w:val="00A16E80"/>
    <w:rsid w:val="00A17ACB"/>
    <w:rsid w:val="00A2324B"/>
    <w:rsid w:val="00A24988"/>
    <w:rsid w:val="00A51549"/>
    <w:rsid w:val="00A54E15"/>
    <w:rsid w:val="00A67E12"/>
    <w:rsid w:val="00A74E32"/>
    <w:rsid w:val="00A76734"/>
    <w:rsid w:val="00A77964"/>
    <w:rsid w:val="00A8537D"/>
    <w:rsid w:val="00A946F6"/>
    <w:rsid w:val="00A953B2"/>
    <w:rsid w:val="00AA3CF5"/>
    <w:rsid w:val="00AA7181"/>
    <w:rsid w:val="00AB01FD"/>
    <w:rsid w:val="00AB0984"/>
    <w:rsid w:val="00AB7A20"/>
    <w:rsid w:val="00AC3789"/>
    <w:rsid w:val="00AC3AC4"/>
    <w:rsid w:val="00AD1C6D"/>
    <w:rsid w:val="00AD47C6"/>
    <w:rsid w:val="00AD7708"/>
    <w:rsid w:val="00AE3EBE"/>
    <w:rsid w:val="00AE5E36"/>
    <w:rsid w:val="00AE76EF"/>
    <w:rsid w:val="00AF0863"/>
    <w:rsid w:val="00AF4D22"/>
    <w:rsid w:val="00B03E9E"/>
    <w:rsid w:val="00B058C8"/>
    <w:rsid w:val="00B161A1"/>
    <w:rsid w:val="00B16C24"/>
    <w:rsid w:val="00B35A97"/>
    <w:rsid w:val="00B40C5D"/>
    <w:rsid w:val="00B42B06"/>
    <w:rsid w:val="00B47A11"/>
    <w:rsid w:val="00B50FEA"/>
    <w:rsid w:val="00B566C7"/>
    <w:rsid w:val="00B60E71"/>
    <w:rsid w:val="00B63EC7"/>
    <w:rsid w:val="00B93CF9"/>
    <w:rsid w:val="00BA4591"/>
    <w:rsid w:val="00BA7774"/>
    <w:rsid w:val="00BB198A"/>
    <w:rsid w:val="00BB217A"/>
    <w:rsid w:val="00BC6044"/>
    <w:rsid w:val="00BD7E9A"/>
    <w:rsid w:val="00C1576E"/>
    <w:rsid w:val="00C2006E"/>
    <w:rsid w:val="00C205B0"/>
    <w:rsid w:val="00C21D28"/>
    <w:rsid w:val="00C23033"/>
    <w:rsid w:val="00C25507"/>
    <w:rsid w:val="00C52AD0"/>
    <w:rsid w:val="00C55A49"/>
    <w:rsid w:val="00C60EDD"/>
    <w:rsid w:val="00C65FB3"/>
    <w:rsid w:val="00C7167A"/>
    <w:rsid w:val="00C803F0"/>
    <w:rsid w:val="00C808AD"/>
    <w:rsid w:val="00C86ADD"/>
    <w:rsid w:val="00C93268"/>
    <w:rsid w:val="00CA0A40"/>
    <w:rsid w:val="00CA22F7"/>
    <w:rsid w:val="00CB01F3"/>
    <w:rsid w:val="00CB6EC0"/>
    <w:rsid w:val="00CF150C"/>
    <w:rsid w:val="00CF6196"/>
    <w:rsid w:val="00D0398A"/>
    <w:rsid w:val="00D32258"/>
    <w:rsid w:val="00D419C4"/>
    <w:rsid w:val="00D62DA5"/>
    <w:rsid w:val="00D672E5"/>
    <w:rsid w:val="00D67E94"/>
    <w:rsid w:val="00D74B25"/>
    <w:rsid w:val="00DB1994"/>
    <w:rsid w:val="00DC7B22"/>
    <w:rsid w:val="00DE0EC2"/>
    <w:rsid w:val="00DE539C"/>
    <w:rsid w:val="00E00E76"/>
    <w:rsid w:val="00E07F38"/>
    <w:rsid w:val="00E21D77"/>
    <w:rsid w:val="00E32269"/>
    <w:rsid w:val="00E3318F"/>
    <w:rsid w:val="00E36648"/>
    <w:rsid w:val="00E37844"/>
    <w:rsid w:val="00E45868"/>
    <w:rsid w:val="00E55A1E"/>
    <w:rsid w:val="00E6591D"/>
    <w:rsid w:val="00E8350D"/>
    <w:rsid w:val="00EA5DB9"/>
    <w:rsid w:val="00EA7537"/>
    <w:rsid w:val="00EB1193"/>
    <w:rsid w:val="00EB2E0D"/>
    <w:rsid w:val="00EC2617"/>
    <w:rsid w:val="00EC3979"/>
    <w:rsid w:val="00EC5EED"/>
    <w:rsid w:val="00ED3D67"/>
    <w:rsid w:val="00ED7D45"/>
    <w:rsid w:val="00EE0E1E"/>
    <w:rsid w:val="00F11C6E"/>
    <w:rsid w:val="00F1651E"/>
    <w:rsid w:val="00F16B23"/>
    <w:rsid w:val="00F17303"/>
    <w:rsid w:val="00F26514"/>
    <w:rsid w:val="00F27294"/>
    <w:rsid w:val="00F473BB"/>
    <w:rsid w:val="00F672A6"/>
    <w:rsid w:val="00F95B43"/>
    <w:rsid w:val="00FA680E"/>
    <w:rsid w:val="00FC4DC9"/>
    <w:rsid w:val="00FC737F"/>
    <w:rsid w:val="00FD42B6"/>
    <w:rsid w:val="00FD5209"/>
    <w:rsid w:val="00FD56C1"/>
    <w:rsid w:val="00FE0F45"/>
    <w:rsid w:val="00FE28C2"/>
    <w:rsid w:val="00FE3C73"/>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934D9-871C-4447-9D61-CACA53AF5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b63c5-d0c5-4370-8cbf-2ba2ecfa5302"/>
    <ds:schemaRef ds:uri="09cc8434-75f3-4e8f-8960-5ef497834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customXml/itemProps3.xml><?xml version="1.0" encoding="utf-8"?>
<ds:datastoreItem xmlns:ds="http://schemas.openxmlformats.org/officeDocument/2006/customXml" ds:itemID="{EABAB223-835C-4BE6-A386-F14481BF0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2542</Words>
  <Characters>11188</Characters>
  <Application>Microsoft Office Word</Application>
  <DocSecurity>0</DocSecurity>
  <Lines>508</Lines>
  <Paragraphs>596</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13134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Amelia Leeson</cp:lastModifiedBy>
  <cp:revision>2</cp:revision>
  <dcterms:created xsi:type="dcterms:W3CDTF">2026-02-12T09:14:00Z</dcterms:created>
  <dcterms:modified xsi:type="dcterms:W3CDTF">2026-02-12T09:14:00Z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2587000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